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E25" w:rsidRDefault="00A66761">
      <w:pPr>
        <w:spacing w:after="0" w:line="240" w:lineRule="auto"/>
        <w:jc w:val="both"/>
        <w:rPr>
          <w:rFonts w:ascii="Times New Roman" w:eastAsia="Times New Roman" w:hAnsi="Times New Roman" w:cs="Times New Roman"/>
          <w:b/>
          <w:sz w:val="20"/>
        </w:rPr>
      </w:pPr>
      <w:r>
        <w:rPr>
          <w:rFonts w:ascii="Times New Roman" w:eastAsia="Times New Roman" w:hAnsi="Times New Roman" w:cs="Times New Roman"/>
          <w:b/>
          <w:sz w:val="20"/>
        </w:rPr>
        <w:t>ALLEGATO 3</w:t>
      </w:r>
    </w:p>
    <w:p w:rsidR="00FC5E25" w:rsidRDefault="00A66761">
      <w:pPr>
        <w:spacing w:after="0" w:line="240" w:lineRule="auto"/>
        <w:jc w:val="right"/>
        <w:rPr>
          <w:rFonts w:ascii="Times New Roman" w:eastAsia="Times New Roman" w:hAnsi="Times New Roman" w:cs="Times New Roman"/>
          <w:b/>
          <w:sz w:val="20"/>
        </w:rPr>
      </w:pPr>
      <w:r>
        <w:rPr>
          <w:rFonts w:ascii="Times New Roman" w:eastAsia="Times New Roman" w:hAnsi="Times New Roman" w:cs="Times New Roman"/>
          <w:b/>
          <w:sz w:val="20"/>
        </w:rPr>
        <w:t>Al</w:t>
      </w:r>
      <w:r w:rsidR="008379F1">
        <w:rPr>
          <w:rFonts w:ascii="Times New Roman" w:eastAsia="Times New Roman" w:hAnsi="Times New Roman" w:cs="Times New Roman"/>
          <w:b/>
          <w:sz w:val="20"/>
        </w:rPr>
        <w:t>la Dirigente Scolastica</w:t>
      </w:r>
    </w:p>
    <w:p w:rsidR="00FC5E25" w:rsidRDefault="00A66761">
      <w:pPr>
        <w:spacing w:after="0" w:line="240" w:lineRule="auto"/>
        <w:jc w:val="right"/>
        <w:rPr>
          <w:rFonts w:ascii="Times New Roman" w:eastAsia="Times New Roman" w:hAnsi="Times New Roman" w:cs="Times New Roman"/>
          <w:b/>
          <w:sz w:val="20"/>
        </w:rPr>
      </w:pPr>
      <w:r>
        <w:rPr>
          <w:rFonts w:ascii="Times New Roman" w:eastAsia="Times New Roman" w:hAnsi="Times New Roman" w:cs="Times New Roman"/>
          <w:b/>
          <w:sz w:val="20"/>
        </w:rPr>
        <w:t>dell'I.I.S.S. di Lercara F.</w:t>
      </w:r>
    </w:p>
    <w:p w:rsidR="00FC5E25" w:rsidRDefault="00FC5E25">
      <w:pPr>
        <w:spacing w:after="0" w:line="240" w:lineRule="auto"/>
        <w:jc w:val="both"/>
        <w:rPr>
          <w:rFonts w:ascii="Times New Roman" w:eastAsia="Times New Roman" w:hAnsi="Times New Roman" w:cs="Times New Roman"/>
          <w:b/>
          <w:sz w:val="20"/>
        </w:rPr>
      </w:pPr>
    </w:p>
    <w:p w:rsidR="00FC5E25" w:rsidRDefault="00FC5E25">
      <w:pPr>
        <w:spacing w:after="0" w:line="240" w:lineRule="auto"/>
        <w:jc w:val="both"/>
        <w:rPr>
          <w:rFonts w:ascii="Times New Roman" w:eastAsia="Times New Roman" w:hAnsi="Times New Roman" w:cs="Times New Roman"/>
          <w:b/>
          <w:sz w:val="20"/>
        </w:rPr>
      </w:pPr>
    </w:p>
    <w:p w:rsidR="00FC5E25" w:rsidRDefault="00A66761">
      <w:pPr>
        <w:spacing w:after="0" w:line="240" w:lineRule="auto"/>
        <w:jc w:val="both"/>
        <w:rPr>
          <w:rFonts w:ascii="Times New Roman" w:eastAsia="Times New Roman" w:hAnsi="Times New Roman" w:cs="Times New Roman"/>
          <w:b/>
          <w:sz w:val="20"/>
        </w:rPr>
      </w:pPr>
      <w:r>
        <w:rPr>
          <w:rFonts w:ascii="Times New Roman" w:eastAsia="Times New Roman" w:hAnsi="Times New Roman" w:cs="Times New Roman"/>
          <w:b/>
          <w:sz w:val="20"/>
        </w:rPr>
        <w:t xml:space="preserve">DICHIARAZIONE PERSONALE - SISTEMA DELLE PRECEDENZE  ED ESCLUSIONE DALLA GRADUATORIA INTERNA D’ISTITUTO </w:t>
      </w:r>
    </w:p>
    <w:p w:rsidR="00FC5E25" w:rsidRDefault="00FC5E25">
      <w:pPr>
        <w:spacing w:after="0" w:line="240" w:lineRule="auto"/>
        <w:jc w:val="both"/>
        <w:rPr>
          <w:rFonts w:ascii="Times New Roman" w:eastAsia="Times New Roman" w:hAnsi="Times New Roman" w:cs="Times New Roman"/>
          <w:b/>
          <w:sz w:val="20"/>
        </w:rPr>
      </w:pPr>
    </w:p>
    <w:tbl>
      <w:tblPr>
        <w:tblW w:w="0" w:type="auto"/>
        <w:tblInd w:w="108" w:type="dxa"/>
        <w:tblCellMar>
          <w:left w:w="10" w:type="dxa"/>
          <w:right w:w="10" w:type="dxa"/>
        </w:tblCellMar>
        <w:tblLook w:val="04A0"/>
      </w:tblPr>
      <w:tblGrid>
        <w:gridCol w:w="3319"/>
        <w:gridCol w:w="2123"/>
        <w:gridCol w:w="2187"/>
        <w:gridCol w:w="2117"/>
      </w:tblGrid>
      <w:tr w:rsidR="00FC5E25">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A66761">
            <w:pPr>
              <w:spacing w:after="0" w:line="360" w:lineRule="auto"/>
              <w:jc w:val="right"/>
            </w:pPr>
            <w:r>
              <w:rPr>
                <w:rFonts w:ascii="Times New Roman" w:eastAsia="Times New Roman" w:hAnsi="Times New Roman" w:cs="Times New Roman"/>
                <w:sz w:val="20"/>
              </w:rPr>
              <w:t>Il/la sottoscritto/a</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FC5E25">
            <w:pPr>
              <w:spacing w:after="0" w:line="360" w:lineRule="auto"/>
              <w:jc w:val="right"/>
              <w:rPr>
                <w:rFonts w:ascii="Calibri" w:eastAsia="Calibri" w:hAnsi="Calibri" w:cs="Calibri"/>
              </w:rPr>
            </w:pPr>
          </w:p>
        </w:tc>
      </w:tr>
      <w:tr w:rsidR="00FC5E25">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A66761">
            <w:pPr>
              <w:spacing w:after="0" w:line="360" w:lineRule="auto"/>
              <w:jc w:val="right"/>
            </w:pPr>
            <w:r>
              <w:rPr>
                <w:rFonts w:ascii="Times New Roman" w:eastAsia="Times New Roman" w:hAnsi="Times New Roman" w:cs="Times New Roman"/>
                <w:sz w:val="20"/>
              </w:rPr>
              <w:t>nato/a</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FC5E25">
            <w:pPr>
              <w:spacing w:after="0" w:line="360" w:lineRule="auto"/>
              <w:jc w:val="right"/>
              <w:rPr>
                <w:rFonts w:ascii="Calibri" w:eastAsia="Calibri" w:hAnsi="Calibri" w:cs="Calibri"/>
              </w:rPr>
            </w:pP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A66761">
            <w:pPr>
              <w:spacing w:after="0" w:line="360" w:lineRule="auto"/>
              <w:jc w:val="right"/>
            </w:pPr>
            <w:r>
              <w:rPr>
                <w:rFonts w:ascii="Times New Roman" w:eastAsia="Times New Roman" w:hAnsi="Times New Roman" w:cs="Times New Roman"/>
                <w:sz w:val="20"/>
              </w:rPr>
              <w:t>Il</w:t>
            </w:r>
          </w:p>
        </w:tc>
        <w:tc>
          <w:tcPr>
            <w:tcW w:w="2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FC5E25">
            <w:pPr>
              <w:spacing w:after="0" w:line="360" w:lineRule="auto"/>
              <w:jc w:val="right"/>
              <w:rPr>
                <w:rFonts w:ascii="Calibri" w:eastAsia="Calibri" w:hAnsi="Calibri" w:cs="Calibri"/>
              </w:rPr>
            </w:pPr>
          </w:p>
        </w:tc>
      </w:tr>
      <w:tr w:rsidR="00FC5E25">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A66761">
            <w:pPr>
              <w:spacing w:after="0" w:line="360" w:lineRule="auto"/>
              <w:jc w:val="right"/>
            </w:pPr>
            <w:r>
              <w:rPr>
                <w:rFonts w:ascii="Times New Roman" w:eastAsia="Times New Roman" w:hAnsi="Times New Roman" w:cs="Times New Roman"/>
                <w:sz w:val="20"/>
              </w:rPr>
              <w:t>residente a</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FC5E25">
            <w:pPr>
              <w:spacing w:after="0" w:line="360" w:lineRule="auto"/>
              <w:jc w:val="right"/>
              <w:rPr>
                <w:rFonts w:ascii="Calibri" w:eastAsia="Calibri" w:hAnsi="Calibri" w:cs="Calibri"/>
              </w:rPr>
            </w:pPr>
          </w:p>
        </w:tc>
      </w:tr>
      <w:tr w:rsidR="00FC5E25">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A66761">
            <w:pPr>
              <w:spacing w:after="0" w:line="360" w:lineRule="auto"/>
              <w:jc w:val="right"/>
            </w:pPr>
            <w:r>
              <w:rPr>
                <w:rFonts w:ascii="Times New Roman" w:eastAsia="Times New Roman" w:hAnsi="Times New Roman" w:cs="Times New Roman"/>
                <w:sz w:val="20"/>
              </w:rPr>
              <w:t>In via/piazza/n. civico</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FC5E25">
            <w:pPr>
              <w:spacing w:after="0" w:line="360" w:lineRule="auto"/>
              <w:jc w:val="right"/>
              <w:rPr>
                <w:rFonts w:ascii="Calibri" w:eastAsia="Calibri" w:hAnsi="Calibri" w:cs="Calibri"/>
              </w:rPr>
            </w:pPr>
          </w:p>
        </w:tc>
      </w:tr>
      <w:tr w:rsidR="00FC5E25">
        <w:trPr>
          <w:trHeight w:val="1"/>
        </w:trPr>
        <w:tc>
          <w:tcPr>
            <w:tcW w:w="34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A66761">
            <w:pPr>
              <w:spacing w:after="0" w:line="360" w:lineRule="auto"/>
              <w:jc w:val="right"/>
            </w:pPr>
            <w:r>
              <w:rPr>
                <w:rFonts w:ascii="Segoe UI Symbol" w:eastAsia="Segoe UI Symbol" w:hAnsi="Segoe UI Symbol" w:cs="Segoe UI Symbol"/>
                <w:sz w:val="20"/>
              </w:rPr>
              <w:t>□</w:t>
            </w:r>
            <w:r>
              <w:rPr>
                <w:rFonts w:ascii="Times New Roman" w:eastAsia="Times New Roman" w:hAnsi="Times New Roman" w:cs="Times New Roman"/>
                <w:sz w:val="20"/>
              </w:rPr>
              <w:t xml:space="preserve">docente </w:t>
            </w:r>
          </w:p>
        </w:tc>
        <w:tc>
          <w:tcPr>
            <w:tcW w:w="6715"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C5E25" w:rsidRDefault="00FC5E25">
            <w:pPr>
              <w:spacing w:after="0" w:line="360" w:lineRule="auto"/>
              <w:jc w:val="right"/>
              <w:rPr>
                <w:rFonts w:ascii="Calibri" w:eastAsia="Calibri" w:hAnsi="Calibri" w:cs="Calibri"/>
              </w:rPr>
            </w:pPr>
          </w:p>
        </w:tc>
      </w:tr>
    </w:tbl>
    <w:p w:rsidR="00FC5E25" w:rsidRDefault="00FC5E25">
      <w:pPr>
        <w:spacing w:after="0" w:line="240" w:lineRule="auto"/>
        <w:jc w:val="both"/>
        <w:rPr>
          <w:rFonts w:ascii="Times New Roman" w:eastAsia="Times New Roman" w:hAnsi="Times New Roman" w:cs="Times New Roman"/>
          <w:b/>
          <w:sz w:val="20"/>
        </w:rPr>
      </w:pPr>
    </w:p>
    <w:p w:rsidR="00FC5E25" w:rsidRDefault="00A66761">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DICHIARO</w:t>
      </w:r>
    </w:p>
    <w:p w:rsidR="00FC5E25" w:rsidRDefault="00FC5E25">
      <w:pPr>
        <w:spacing w:after="0" w:line="240" w:lineRule="auto"/>
        <w:jc w:val="center"/>
        <w:rPr>
          <w:rFonts w:ascii="Times New Roman" w:eastAsia="Times New Roman" w:hAnsi="Times New Roman" w:cs="Times New Roman"/>
          <w:b/>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di essere beneficiario/a delle precedenze previste al seguente punto - </w:t>
      </w:r>
      <w:r>
        <w:rPr>
          <w:rFonts w:ascii="Times New Roman" w:eastAsia="Times New Roman" w:hAnsi="Times New Roman" w:cs="Times New Roman"/>
          <w:b/>
          <w:sz w:val="20"/>
        </w:rPr>
        <w:t xml:space="preserve"> SISTEMA DELLE PRECEDENZE  ED ESCLUSIONE DALLA GRADUATORIA INTERNA D’ISTITUTO </w:t>
      </w:r>
    </w:p>
    <w:tbl>
      <w:tblPr>
        <w:tblW w:w="0" w:type="auto"/>
        <w:tblInd w:w="108" w:type="dxa"/>
        <w:tblCellMar>
          <w:left w:w="10" w:type="dxa"/>
          <w:right w:w="10" w:type="dxa"/>
        </w:tblCellMar>
        <w:tblLook w:val="04A0"/>
      </w:tblPr>
      <w:tblGrid>
        <w:gridCol w:w="422"/>
        <w:gridCol w:w="2066"/>
        <w:gridCol w:w="389"/>
        <w:gridCol w:w="6869"/>
      </w:tblGrid>
      <w:tr w:rsidR="00FC5E25">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pPr>
            <w:r>
              <w:rPr>
                <w:rFonts w:ascii="Times New Roman" w:eastAsia="Times New Roman" w:hAnsi="Times New Roman" w:cs="Times New Roman"/>
                <w:sz w:val="20"/>
              </w:rPr>
              <w:t>I) DISABILITA’ E GRAVI MOTIVI DI SALUTE</w:t>
            </w: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1) personale scolastico docente non vedente (art. 3 della Legge 28 marzo 1991 n. 120);</w:t>
            </w:r>
          </w:p>
        </w:tc>
      </w:tr>
      <w:tr w:rsidR="00FC5E25">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 xml:space="preserve">2) personale emodializzato (art. 61 della Legge 270/82). </w:t>
            </w:r>
          </w:p>
        </w:tc>
      </w:tr>
      <w:tr w:rsidR="00FC5E25">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III) PERSONALE CON DISABILITA’ E PERSONALE CHE HA BISOGNO DI PARTICOLARI CURE CONTINUATIVE</w:t>
            </w:r>
          </w:p>
          <w:p w:rsidR="00FC5E25" w:rsidRDefault="00FC5E25">
            <w:pPr>
              <w:spacing w:after="0" w:line="240" w:lineRule="auto"/>
              <w:rPr>
                <w:rFonts w:ascii="Times New Roman" w:eastAsia="Times New Roman" w:hAnsi="Times New Roman" w:cs="Times New Roman"/>
                <w:sz w:val="20"/>
              </w:rPr>
            </w:pPr>
          </w:p>
          <w:p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w:t>
            </w:r>
          </w:p>
          <w:p w:rsidR="00FC5E25" w:rsidRDefault="00FC5E25">
            <w:pPr>
              <w:spacing w:after="0" w:line="240" w:lineRule="auto"/>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FC5E25">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FC5E25">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3) personale appartenente alle categorie previste dal comma 6, dell'art. 33 della legge n. 104/92, richiamato dall'art. 601, del D.L.vo n. 297/94.</w:t>
            </w:r>
          </w:p>
        </w:tc>
      </w:tr>
      <w:tr w:rsidR="00FC5E25">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V) ASSISTENZA</w:t>
            </w:r>
          </w:p>
          <w:p w:rsidR="00FC5E25" w:rsidRDefault="00FC5E25">
            <w:pPr>
              <w:spacing w:after="0" w:line="240" w:lineRule="auto"/>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ASSISTENZA AL CONIUGE, ED AL FIGLIO CON DISABILITA’</w:t>
            </w:r>
          </w:p>
        </w:tc>
      </w:tr>
      <w:tr w:rsidR="00FC5E25">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ASSISTENZA DA PARTE DEL FIGLIO REFERENTE UNICO AL GENITORE CON DISABILITA’</w:t>
            </w:r>
          </w:p>
        </w:tc>
      </w:tr>
      <w:tr w:rsidR="00FC5E25">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20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FC5E25">
            <w:pPr>
              <w:spacing w:after="0" w:line="240" w:lineRule="auto"/>
              <w:jc w:val="both"/>
              <w:rPr>
                <w:rFonts w:ascii="Calibri" w:eastAsia="Calibri" w:hAnsi="Calibri" w:cs="Calibri"/>
              </w:rPr>
            </w:pPr>
          </w:p>
        </w:tc>
        <w:tc>
          <w:tcPr>
            <w:tcW w:w="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72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ASSISTENZA DA PARTE DI CHI ESERCITA LA TUTELA LEGALE</w:t>
            </w:r>
          </w:p>
        </w:tc>
      </w:tr>
      <w:tr w:rsidR="00FC5E25">
        <w:trPr>
          <w:trHeight w:val="1"/>
        </w:trPr>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Segoe UI Symbol" w:eastAsia="Segoe UI Symbol" w:hAnsi="Segoe UI Symbol" w:cs="Segoe UI Symbol"/>
                <w:sz w:val="20"/>
              </w:rPr>
              <w:t>□</w:t>
            </w:r>
          </w:p>
        </w:tc>
        <w:tc>
          <w:tcPr>
            <w:tcW w:w="971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C5E25" w:rsidRDefault="00A66761">
            <w:pPr>
              <w:spacing w:after="0" w:line="240" w:lineRule="auto"/>
              <w:jc w:val="both"/>
            </w:pPr>
            <w:r>
              <w:rPr>
                <w:rFonts w:ascii="Times New Roman" w:eastAsia="Times New Roman" w:hAnsi="Times New Roman" w:cs="Times New Roman"/>
                <w:sz w:val="20"/>
              </w:rPr>
              <w:t>VII) PERSONALE CHE RICOPRE CARICHE PUBBLICHE NELLE AMMINISTRAZIONI DEGLI ENTI LOCALI</w:t>
            </w:r>
          </w:p>
        </w:tc>
      </w:tr>
    </w:tbl>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CHIEDO</w:t>
      </w:r>
    </w:p>
    <w:p w:rsidR="00FC5E25" w:rsidRDefault="00FC5E25">
      <w:pPr>
        <w:spacing w:after="0" w:line="240" w:lineRule="auto"/>
        <w:jc w:val="center"/>
        <w:rPr>
          <w:rFonts w:ascii="Times New Roman" w:eastAsia="Times New Roman" w:hAnsi="Times New Roman" w:cs="Times New Roman"/>
          <w:b/>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Pertanto l’esclusione della graduatoria interna di istituto ai sensi della normativa vigente</w:t>
      </w:r>
    </w:p>
    <w:p w:rsidR="00FC5E25" w:rsidRDefault="00A66761">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ALLEGO</w:t>
      </w:r>
    </w:p>
    <w:p w:rsidR="00FC5E25" w:rsidRDefault="00FC5E25">
      <w:pPr>
        <w:spacing w:after="0" w:line="240" w:lineRule="auto"/>
        <w:jc w:val="center"/>
        <w:rPr>
          <w:rFonts w:ascii="Times New Roman" w:eastAsia="Times New Roman" w:hAnsi="Times New Roman" w:cs="Times New Roman"/>
          <w:b/>
          <w:sz w:val="20"/>
        </w:rPr>
      </w:pPr>
    </w:p>
    <w:p w:rsidR="00FC5E25" w:rsidRDefault="00A66761">
      <w:pPr>
        <w:numPr>
          <w:ilvl w:val="0"/>
          <w:numId w:val="1"/>
        </w:numPr>
        <w:spacing w:after="0" w:line="240" w:lineRule="auto"/>
        <w:ind w:left="720" w:hanging="360"/>
        <w:jc w:val="both"/>
        <w:rPr>
          <w:rFonts w:ascii="Times New Roman" w:eastAsia="Times New Roman" w:hAnsi="Times New Roman" w:cs="Times New Roman"/>
          <w:sz w:val="20"/>
        </w:rPr>
      </w:pPr>
      <w:r>
        <w:rPr>
          <w:rFonts w:ascii="Times New Roman" w:eastAsia="Times New Roman" w:hAnsi="Times New Roman" w:cs="Times New Roman"/>
          <w:sz w:val="20"/>
        </w:rPr>
        <w:t xml:space="preserve">Documentazione e certificazione </w:t>
      </w:r>
    </w:p>
    <w:p w:rsidR="00FC5E25" w:rsidRDefault="00A66761">
      <w:pPr>
        <w:numPr>
          <w:ilvl w:val="0"/>
          <w:numId w:val="1"/>
        </w:numPr>
        <w:spacing w:after="0" w:line="240" w:lineRule="auto"/>
        <w:ind w:left="720" w:hanging="360"/>
        <w:jc w:val="both"/>
        <w:rPr>
          <w:rFonts w:ascii="Times New Roman" w:eastAsia="Times New Roman" w:hAnsi="Times New Roman" w:cs="Times New Roman"/>
          <w:sz w:val="20"/>
        </w:rPr>
      </w:pPr>
      <w:r>
        <w:rPr>
          <w:rFonts w:ascii="Times New Roman" w:eastAsia="Times New Roman" w:hAnsi="Times New Roman" w:cs="Times New Roman"/>
          <w:sz w:val="20"/>
        </w:rPr>
        <w:t>Le documentazioni e le certificazioni sono agli atti della scuola e vigenti alla data attuale</w:t>
      </w:r>
    </w:p>
    <w:p w:rsidR="00FC5E25" w:rsidRDefault="00FC5E25">
      <w:pPr>
        <w:spacing w:after="0" w:line="240" w:lineRule="auto"/>
        <w:jc w:val="both"/>
        <w:rPr>
          <w:rFonts w:ascii="Times New Roman" w:eastAsia="Times New Roman" w:hAnsi="Times New Roman" w:cs="Times New Roman"/>
          <w:sz w:val="20"/>
        </w:rPr>
      </w:pPr>
    </w:p>
    <w:p w:rsidR="00FC5E25" w:rsidRDefault="001B2E4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Lercara Friddi</w:t>
      </w:r>
      <w:r w:rsidR="00A66761">
        <w:rPr>
          <w:rFonts w:ascii="Times New Roman" w:eastAsia="Times New Roman" w:hAnsi="Times New Roman" w:cs="Times New Roman"/>
          <w:sz w:val="20"/>
        </w:rPr>
        <w:t>____/____/____</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FIRMA</w:t>
      </w:r>
    </w:p>
    <w:p w:rsidR="00FC5E25" w:rsidRDefault="00FC5E25">
      <w:pPr>
        <w:spacing w:after="0" w:line="240" w:lineRule="auto"/>
        <w:jc w:val="right"/>
        <w:rPr>
          <w:rFonts w:ascii="Times New Roman" w:eastAsia="Times New Roman" w:hAnsi="Times New Roman" w:cs="Times New Roman"/>
          <w:sz w:val="20"/>
        </w:rPr>
      </w:pPr>
    </w:p>
    <w:p w:rsidR="00FC5E25" w:rsidRDefault="00A66761">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_________________________________</w:t>
      </w:r>
    </w:p>
    <w:p w:rsidR="00FC5E25" w:rsidRDefault="00FC5E25">
      <w:pPr>
        <w:spacing w:after="0" w:line="240" w:lineRule="auto"/>
        <w:jc w:val="right"/>
        <w:rPr>
          <w:rFonts w:ascii="Times New Roman" w:eastAsia="Times New Roman" w:hAnsi="Times New Roman" w:cs="Times New Roman"/>
          <w:sz w:val="20"/>
        </w:rPr>
      </w:pP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1. SISTEMA DELLE PRECEDENZE.</w:t>
      </w:r>
    </w:p>
    <w:p w:rsidR="001B2E40" w:rsidRDefault="001B2E40" w:rsidP="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Le precedenze riportate nel presente articolo sono raggruppate sistematicamente per categoria e sono funzionalmente inserite, secondo il seguente ordine di priorità, nelle operazioni della sola mobilità territoriale per le quali trovano applicazione, fatta eccezione per il solo punto I) che vale anche per la mobilità professionale. Per ogni tipo di precedenza sottoelencata viene evidenziata la fase o le fasi del movimento a cui si applica. In caso di parità di precedenza e di punteggio, prevale chi ha maggiore anzianità anagrafica.</w:t>
      </w:r>
    </w:p>
    <w:p w:rsidR="00FC5E25" w:rsidRDefault="00A66761" w:rsidP="001B2E4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ab/>
      </w: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 DISABILITA’ E GRAVI MOTIVI DI SALUTE</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Nelle operazioni di mobilità territoriale e professionale, indipendentemente dal comune o dalla provincia di provenienza dell’interessato, viene riconosciuta una precedenza assoluta nella fase A di cui all’art 6, a tutto il personale docente, compreso quello immesso in ruolo nelle fasi del piano straordinario di assunzioni, che si trovi, nell’ordine, in una delle seguenti condizioni:</w:t>
      </w: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1) personale scolastico docente non vedente (art. 3 della Legge 28 marzo 1991 n. 120);</w:t>
      </w: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2) personale emodializzato (art. 61 della Legge 270/82). </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II) PERSONALE TRASFERITO D’UFFICIO NEGLI ULTIMI OTTO ANNI RICHIEDENTE IL RIENTRO NELLA SCUOLA O ISTITUTO DI PRECEDENTE TITOLARITA’</w:t>
      </w:r>
    </w:p>
    <w:p w:rsidR="001B2E40" w:rsidRDefault="001B2E40">
      <w:pPr>
        <w:spacing w:after="0" w:line="240" w:lineRule="auto"/>
        <w:jc w:val="both"/>
        <w:rPr>
          <w:rFonts w:ascii="Times New Roman" w:eastAsia="Times New Roman" w:hAnsi="Times New Roman" w:cs="Times New Roman"/>
          <w:sz w:val="20"/>
        </w:rPr>
      </w:pPr>
    </w:p>
    <w:p w:rsidR="00FC5E25"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Tutto il personale docente trasferito a domanda condizionata o d’ufficio per non aver presentato domanda, anche su tipologia diversa di posto (comune e/o cattedra, sostegno), ha diritto al rientro con precedenza nella scuola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(1) (2) La precedenza in esame si applica alla prima fase dei trasferimenti, anche se il richiedente è titolare in un comune diverso da quello della scuola, circolo o istituto richiesto. Detta precedenza opera esclusivamente all’interno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 Tale precedenza spetta a condizione che gli interessati abbiano prodotto domanda per ciascun anno dell’ottennio e che richiedano come prima preferenza la scuola dalla quale sono stati trasferiti d’ufficio o preferenze sintetiche (comune o distretto) comprensive di tale scuola, circolo o istituto (3). A tali fini il personale scolastico interessato deve riportare nella apposita casella del </w:t>
      </w:r>
      <w:proofErr w:type="spellStart"/>
      <w:r w:rsidRPr="001B2E40">
        <w:rPr>
          <w:rFonts w:ascii="Times New Roman" w:eastAsia="Times New Roman" w:hAnsi="Times New Roman" w:cs="Times New Roman"/>
          <w:sz w:val="20"/>
        </w:rPr>
        <w:t>modulodomanda</w:t>
      </w:r>
      <w:proofErr w:type="spellEnd"/>
      <w:r w:rsidRPr="001B2E40">
        <w:rPr>
          <w:rFonts w:ascii="Times New Roman" w:eastAsia="Times New Roman" w:hAnsi="Times New Roman" w:cs="Times New Roman"/>
          <w:sz w:val="20"/>
        </w:rPr>
        <w:t xml:space="preserve">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V). L’adempimento inerente alla dichiarazione richiesta per usufruire della precedenza per il rientro nella scuola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da cui è stato trasferito nell'ultimo ottennio, nell'apposita casella del modulo-domanda, oppure non alleghi la dichiarazione di cui sopra, perde il diritto alla precedenza. Per quanto attiene ai centri di istruzione per gli adulti il personale interessato dovrà indicare la scuola sede di organico da cui è stato trasferito nell'ultimo ottennio. Per la scuola primaria, tranne il caso di scuola speciale, la precedenza in esame è assegnata alla sede di organico che comprende il plesso dal quale il docente beneficiario della precedenza è stato trasferito d’ufficio o a domanda condizionata nell’ultimo ottennio (3). Nella scuola dell’infanzia la precedenza di cui al presente comma è parimenti assegnata alla sede di organico che comprende la scuola dalla quale il docente beneficiario di detta precedenza è stato trasferito d’ufficio o a domanda condizionata nell’ultimo ottennio (4). L'utilizzazione in altra scuola del personale in soprannumero nella scuola di titolarità, o il trasferimento del personale in quanto in soprannumero, non interrompe la continuità del servizio, qualora il personale interessato abbia richiesto, in ciascun anno dell’ottennio successivo, il trasferimento nella scuola di precedente titolarità/incarico ovvero nel comune. Analogamente avviene nel caso in cui il personale soprannumerario trasferito d'ufficio o a domanda condizionata, o rimasto in soprannumero sulla provincia, ottenga l'assegnazione provvisoria all’interno della provincia, qualora il medesimo richieda e abbia richiesto, in ciascun anno dell’ottennio, il rientro nella scuola di precedente titolarità/incarico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La continuità del servizio nella scuola o istituto di precedente titolarità/incarico viene altresì riconosciuta, nell’ottennio, al docente trasferito d’ufficio o a domanda condizionata dalla predetta scuola o istituto ai posti della ex dotazione provinciale, qualora l’interessato richieda, in ciascun anno </w:t>
      </w:r>
      <w:r w:rsidRPr="001B2E40">
        <w:rPr>
          <w:rFonts w:ascii="Times New Roman" w:eastAsia="Times New Roman" w:hAnsi="Times New Roman" w:cs="Times New Roman"/>
          <w:sz w:val="20"/>
        </w:rPr>
        <w:lastRenderedPageBreak/>
        <w:t>dell’ottennio successivo, il trasferimento nella scuola di precedente titolarità/incarico ovvero nel comune. 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 Permane, tuttavia, anche negli anni successivi, mantenendo il punteggio di continuità, il diritto al rientro nella scuola e nel comune di precedente titolarità, entro i limiti dell’ottennio iniziale. 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III) PERSONALE CON DISABILITA’ E PERSONALE CHE HA BISOGNO DI PARTICOLARI CURE CONTINUATIVE</w:t>
      </w:r>
    </w:p>
    <w:p w:rsidR="00FC5E25" w:rsidRDefault="00FC5E25">
      <w:pPr>
        <w:spacing w:after="0" w:line="240" w:lineRule="auto"/>
        <w:jc w:val="both"/>
        <w:rPr>
          <w:rFonts w:ascii="Times New Roman" w:eastAsia="Times New Roman" w:hAnsi="Times New Roman" w:cs="Times New Roman"/>
          <w:sz w:val="20"/>
        </w:rPr>
      </w:pP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Nel contesto delle procedure dei trasferimenti, e in ciascuna delle tre fasi, viene riconosciuta la precedenza, nell’ordine, al personale scolastico che si trovi nelle seguenti condizioni: 18 </w:t>
      </w: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1) disabili di cui all'art. 21, della legge n. 104/92, richiamato dall'art. 601 del decreto legislativo n. 297/94, con un grado di invalidità superiore ai due terzi o con minorazioni iscritte alle categorie prima, seconda e terza della tabella "A" annessa alla legge 10 agosto 1950, n. 648;</w:t>
      </w: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 comune in cui esista un centro di cura specializzato. Tale precedenza opera nella prima fase esclusivamente tra distretti diversi dello stesso comune; </w:t>
      </w: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3) personale appartenente alle categorie previste dal comma 6, dell'art. 33 della legge n. 104/92, richiamato dall'art. 601, del decreto legislativo n. 297/94.</w:t>
      </w:r>
    </w:p>
    <w:p w:rsidR="00FC5E25"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Il personale, di cui ai punti 1) e 3), fermo restando il diritto a fruire della precedenza se partecipa ai movimenti nella prima fase, nella seconda e terza fase, può usufruire di tale precedenza all’interno e per la provincia in cui è ubicato il comune di residenza, a condizione che abbia espresso come prima preferenza il predetto comune di residenza o distretto </w:t>
      </w:r>
      <w:proofErr w:type="spellStart"/>
      <w:r w:rsidRPr="001B2E40">
        <w:rPr>
          <w:rFonts w:ascii="Times New Roman" w:eastAsia="Times New Roman" w:hAnsi="Times New Roman" w:cs="Times New Roman"/>
          <w:sz w:val="20"/>
        </w:rPr>
        <w:t>subcomunale</w:t>
      </w:r>
      <w:proofErr w:type="spellEnd"/>
      <w:r w:rsidRPr="001B2E40">
        <w:rPr>
          <w:rFonts w:ascii="Times New Roman" w:eastAsia="Times New Roman" w:hAnsi="Times New Roman" w:cs="Times New Roman"/>
          <w:sz w:val="20"/>
        </w:rPr>
        <w:t xml:space="preserve"> oppure una o più istituzioni scolastiche comprese in esso. La preferenza sintetica per il predetto comune è obbligatoria prima di esprimere preferenze per altro comune. Il personale di cui al punto 2) può usufruire di tale precedenza all’interno e per la provincia in cui è ubicato il comune di cura, a condizione che abbia espresso come prima preferenza una o più istituzioni scolastiche o distretti compresi nel predetto comune ovvero preferenza sintetica per il comune di cura prima di altre preferenze. Per il personale di cui ai punti 1), 2) e 3), in caso in cui nel comune non esistano scuole esprimibili è possibile indicare una scuola di un comune viciniore ovvero una scuola con sede di organico in altro comune anche non viciniore che abbia una sede/plesso nel comune di residenza/cura (5).</w:t>
      </w:r>
    </w:p>
    <w:p w:rsidR="001B2E40" w:rsidRDefault="001B2E40">
      <w:pPr>
        <w:spacing w:after="0" w:line="240" w:lineRule="auto"/>
        <w:jc w:val="both"/>
        <w:rPr>
          <w:rFonts w:ascii="Times New Roman" w:eastAsia="Times New Roman" w:hAnsi="Times New Roman" w:cs="Times New Roman"/>
          <w:sz w:val="20"/>
        </w:rPr>
      </w:pPr>
    </w:p>
    <w:p w:rsidR="00FC5E25" w:rsidRPr="001B2E40"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IV) </w:t>
      </w:r>
      <w:r w:rsidR="001B2E40" w:rsidRPr="001B2E40">
        <w:rPr>
          <w:rFonts w:ascii="Times New Roman" w:eastAsia="Times New Roman" w:hAnsi="Times New Roman" w:cs="Times New Roman"/>
          <w:sz w:val="20"/>
        </w:rPr>
        <w:t>) ASSISTENZA AL CONIUGE, ED AL FIGLIO CON DISABILITA’; ASSISTENZA DA PARTE DEL FIGLIO REFERENTE UNICO AL GENITORE CON DISABILITA’; ASSISTENZA DA PARTE DI CHI ESERCITA LA TUTELA LEGALE (6)</w:t>
      </w:r>
    </w:p>
    <w:p w:rsidR="001B2E40" w:rsidRDefault="001B2E40">
      <w:pPr>
        <w:spacing w:after="0" w:line="240" w:lineRule="auto"/>
        <w:jc w:val="both"/>
        <w:rPr>
          <w:rFonts w:ascii="Times New Roman" w:eastAsia="Times New Roman" w:hAnsi="Times New Roman" w:cs="Times New Roman"/>
          <w:sz w:val="20"/>
        </w:rPr>
      </w:pP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Nella I fase solo tra distretti diversi dello stesso comune e nella II e III fase dei trasferimenti viene riconosciuta, in base all’art. 33 commi 5 e 7 della L. 104/92, richiamato dall’art. 601 del decreto legislativo n. 297/94, la precedenza ai genitori anche adottivi del disabile in situazione di gravità o a chi, individuato dall’autorità giudiziaria competente, esercita legale tutela del disabile in situazione di gravità.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 Successivamente, viene riconosciuta la precedenza per l’assistenza al coniuge (7) e, limitatamente ai trasferimenti nella I fase solo tra distretti diversi dello stesso comune e nella II fase dei trasferimenti, al solo figlio individuato come referente unico che presta assistenza al genitore disabile in situazione di gravità. In caso di figlio che assiste un genitore in qualità di referente unico, la precedenza viene riconosciuta in presenza di tutte le sottoelencate condizioni:</w:t>
      </w: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1. documentata impossibilità del coniuge di provvedere all’assistenza per motivi oggettivi;</w:t>
      </w:r>
    </w:p>
    <w:p w:rsidR="001B2E40"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 2. 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w:t>
      </w: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Tale situazione di convivenza deve essere documentata dall’interessato con dichiarazione personale sotto la propria responsabilità, redatta ai sensi delle disposizioni contenute nel D.P.R. 28.12.2000, n. 445 e successive modifiche ed integrazioni (8). </w:t>
      </w:r>
    </w:p>
    <w:p w:rsid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3. essere anche l’unico figlio che ha chiesto di fruire periodicamente nell’anno scolastico in cui si presenta la domanda di mobilità, dei 3 giorni di permesso retribuito mensile per l’assistenza (9) ovvero del congedo straordinario ai sensi dell’art. 42 comma 5 del decreto legislativo 151/2001.</w:t>
      </w:r>
    </w:p>
    <w:p w:rsidR="001B2E40"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lastRenderedPageBreak/>
        <w:t xml:space="preserve"> 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 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come prima preferenza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I fase dei trasferimenti, alle condizioni di cui sopra, limitatamente ai comuni con più distretti. In assenza di posti richiedibili nel comune ove risulti domiciliato il soggetto disabile è obbligatorio indicare il comune viciniore a quello del domicilio dell’assistito con posti richiedibili (5) ovvero una scuola con sede di organico in altro comune anche non viciniore che abbia una sede/plesso nel comune di domicilio dell’assistito. L’indicazione della preferenza sintetica per l’intero comune di ricongiungimento, ovvero per il distretto scolastico del domicilio,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 Nei trasferimenti interprovinciali è riconosciuta la precedenza ai soli genitori, anche adottivi, o a chi, individuato dall’autorità giudiziaria competente, esercita legale tutela.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Successivamente tale precedenza è riconosciuta al coniuge del disabile in situazione di gravità. Il figlio che assiste il genitore in situazione di gravità ha diritto ad usufruire della precedenza tra province diverse esclusivamente nelle operazioni di assegnazione provvisoria, fermo restando il diritto a presentare la domanda di mobilità. La particolare condizione fisica che dà titolo alla precedenza di cui al presente punto IV) nella mobilità a domanda deve avere carattere permanente. Tale disposizione non trova applicazione nel caso dei figli disabili. Per beneficiare della precedenza prevista dall’art. 33, della legge n. 104/92, gli interessati dovranno produrre apposita certificazione secondo le indicazioni riportate nella O.M. che regola i trasferimenti. La predetta certificazione deve essere prodotta contestualmente alla domanda di trasferimento.</w:t>
      </w:r>
    </w:p>
    <w:p w:rsidR="001B2E40" w:rsidRDefault="001B2E40">
      <w:pPr>
        <w:spacing w:after="0" w:line="240" w:lineRule="auto"/>
        <w:jc w:val="both"/>
        <w:rPr>
          <w:rFonts w:ascii="Times New Roman" w:eastAsia="Times New Roman" w:hAnsi="Times New Roman" w:cs="Times New Roman"/>
          <w:sz w:val="20"/>
        </w:rPr>
      </w:pP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V) </w:t>
      </w:r>
      <w:r w:rsidR="00AA6C7F" w:rsidRPr="00AA6C7F">
        <w:rPr>
          <w:rFonts w:ascii="Times New Roman" w:eastAsia="Times New Roman" w:hAnsi="Times New Roman" w:cs="Times New Roman"/>
          <w:sz w:val="20"/>
        </w:rPr>
        <w:t>PERSONALE TRASFERITO D’UFFICIO NEGLI ULTIMI OTTO ANNI RICHIEDENTE IL RIENTRO NEL COMUNE DI PRECEDENTE TITOLARITA’</w:t>
      </w:r>
    </w:p>
    <w:p w:rsidR="00FC5E25" w:rsidRDefault="00FC5E25">
      <w:pPr>
        <w:spacing w:after="0" w:line="240" w:lineRule="auto"/>
        <w:jc w:val="both"/>
        <w:rPr>
          <w:rFonts w:ascii="Times New Roman" w:eastAsia="Times New Roman" w:hAnsi="Times New Roman" w:cs="Times New Roman"/>
          <w:sz w:val="20"/>
        </w:rPr>
      </w:pPr>
    </w:p>
    <w:p w:rsidR="00FC5E25"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 xml:space="preserve">Il personale scolastico beneficiario della precedenza per il rientro nella scuola, circolo o istituto di precedente titolarità di cui al precedente punto II) ha titolo, con precedenza rispetto ai movimenti della seconda fase, a rientrare a domanda, nell’ottennio successivo al trasferimento d’ufficio, nel comune di precedente titolarità o, qualora non esistano posti richiedibili in detto comune, in quello 20 più vicino secondo le apposite tabelle di </w:t>
      </w:r>
      <w:proofErr w:type="spellStart"/>
      <w:r w:rsidRPr="001B2E40">
        <w:rPr>
          <w:rFonts w:ascii="Times New Roman" w:eastAsia="Times New Roman" w:hAnsi="Times New Roman" w:cs="Times New Roman"/>
          <w:sz w:val="20"/>
        </w:rPr>
        <w:t>viciniorietà</w:t>
      </w:r>
      <w:proofErr w:type="spellEnd"/>
      <w:r w:rsidRPr="001B2E40">
        <w:rPr>
          <w:rFonts w:ascii="Times New Roman" w:eastAsia="Times New Roman" w:hAnsi="Times New Roman" w:cs="Times New Roman"/>
          <w:sz w:val="20"/>
        </w:rPr>
        <w:t xml:space="preserve"> (3). Detta precedenza opera esclusivamente nell’ambito della tipologia di titolarità al momento dell’avvenuto trasferimento d’ufficio (posto comune e/o cattedra, posto di sostegno). Per fruire di tale precedenza gli interessati dovranno indicare nel modulo domanda la scuola o il comune dal quale sono stati trasferiti d'ufficio o, in assenza di posti ivi richiedibili (5), il comune più vicino secondo le tabelle di </w:t>
      </w:r>
      <w:proofErr w:type="spellStart"/>
      <w:r w:rsidRPr="001B2E40">
        <w:rPr>
          <w:rFonts w:ascii="Times New Roman" w:eastAsia="Times New Roman" w:hAnsi="Times New Roman" w:cs="Times New Roman"/>
          <w:sz w:val="20"/>
        </w:rPr>
        <w:t>viciniorietà</w:t>
      </w:r>
      <w:proofErr w:type="spellEnd"/>
      <w:r w:rsidRPr="001B2E40">
        <w:rPr>
          <w:rFonts w:ascii="Times New Roman" w:eastAsia="Times New Roman" w:hAnsi="Times New Roman" w:cs="Times New Roman"/>
          <w:sz w:val="20"/>
        </w:rPr>
        <w:t>. Per il citato ottennio è attribuito il punteggio previsto per la continuità di servizio. A tale scopo dovrà essere attestato, con apposita dichiarazione personale, l'anno del trasferimento d'ufficio (10) (11). Alle stesse condizioni, tale precedenza viene riconosciuta al personale trasferito in quanto soprannumerario nei centri di istruzione per gli adulti, per il rientro nel comune del centro territoriale considerando a tali fini le cattedre disponibili nelle sedi di organico del comune indicato. 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 Il docente viene trattato con precedenza su tutte le preferenze di scuola indicate nel comune dove esercita la precedenza o distretto. La precedenza si applica solo per il comune incluso nella preferenza sintetica distretto. Il personale, trasferito d’ufficio o a domanda condizionata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 Permane, tuttavia, anche negli anni successivi, mantenendo il punteggio di continuità, il diritto al rientro nella scuola e nel comune di precedente titolarità, entro i limiti dell’ottennio iniziale. Nei riguardi del personale scolastico soprannumerario trasferito d’ufficio senza aver prodotto domanda o trasferito a domanda condizionata, che richieda come precedenza in ciascun anno dell’ottennio il rientro nel comune, l’aver ottenuto nel corso dell’ottennio il trasferimento per altre preferenze espresse nella domanda non interrompe la continuità del servizio e non fa perdere il diritto alla precedenza e al punteggio aggiuntivo.</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VI) PERSONALE CONIUGE DI MILITARE O DI CATEGORIA EQUIPARATA </w:t>
      </w:r>
    </w:p>
    <w:p w:rsidR="00FC5E25" w:rsidRDefault="00FC5E25">
      <w:pPr>
        <w:spacing w:after="0" w:line="240" w:lineRule="auto"/>
        <w:jc w:val="both"/>
        <w:rPr>
          <w:rFonts w:ascii="Times New Roman" w:eastAsia="Times New Roman" w:hAnsi="Times New Roman" w:cs="Times New Roman"/>
          <w:sz w:val="20"/>
        </w:rPr>
      </w:pPr>
    </w:p>
    <w:p w:rsidR="00FC5E25"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lastRenderedPageBreak/>
        <w:t>In base al disposto dell’art. 17, legge 28.07.1999 n. 266 e dell’art. 2, legge 29/03/2001 n. 86, il personale scolastico coniuge convivente del personale militare o di categoria equiparata, nonché i coniugi di coloro cui viene corrisposta l'indennità di pubblica sicurezza e che si trovino nelle condizioni previste dalle citate norme, ha titolo, nelle operazioni di II e III fase riguardanti i trasferimenti, alla precedenza a condizione che la prima preferenza espressa nel modulo domanda si riferisca al comune nel quale è stato trasferito d'ufficio il coniuge, ovvero abbia eletto domicilio all’atto del collocamento in congedo, e in mancanza di istituzioni scolastiche richiedibili, al comune viciniore ovvero, una scuola con sede di organico in altro comune anche non viciniore che abbia una sede/plesso nel comune nel quale è stato trasferito d’ufficio il coniuge ovvero abbia eletto domicilio all’atto del collocamento in congedo. L’indicazione della preferenza sintetica per l’intero comune di ricongiungimento, ovvero per il distretto scolastico,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 Tale precedenza, pertanto, non si applica alla prima fase dei trasferimenti ed alla mobilità professionale. 21 Per fruire di tale precedenza gli interessati dovranno contrassegnare l'apposita casella del modulo domanda ed allegare la documentazione prevista dell’O.M. che regola i trasferimenti. 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previste dall’O.M. sulla mobilità del personale scolastico. Dopo tali scadenze, infatti, le predette esigenze di ricongiungimento al coniuge trasferito, possono essere esaminate solo in sede di operazioni di assegnazione provvisoria.</w:t>
      </w:r>
    </w:p>
    <w:p w:rsidR="001B2E40" w:rsidRDefault="001B2E40">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VII) PERSONALE CHE RICOPRE CARICHE PUBBLICHE NELLE AMMINISTRAZIONI DEGLI ENTI LOCALI</w:t>
      </w:r>
    </w:p>
    <w:p w:rsidR="00FC5E25" w:rsidRDefault="00FC5E25">
      <w:pPr>
        <w:spacing w:after="0" w:line="240" w:lineRule="auto"/>
        <w:jc w:val="both"/>
        <w:rPr>
          <w:rFonts w:ascii="Times New Roman" w:eastAsia="Times New Roman" w:hAnsi="Times New Roman" w:cs="Times New Roman"/>
          <w:sz w:val="20"/>
        </w:rPr>
      </w:pPr>
    </w:p>
    <w:p w:rsidR="00FC5E25" w:rsidRPr="001B2E40" w:rsidRDefault="001B2E40">
      <w:pPr>
        <w:spacing w:after="0" w:line="240" w:lineRule="auto"/>
        <w:jc w:val="both"/>
        <w:rPr>
          <w:rFonts w:ascii="Times New Roman" w:eastAsia="Times New Roman" w:hAnsi="Times New Roman" w:cs="Times New Roman"/>
          <w:sz w:val="20"/>
        </w:rPr>
      </w:pPr>
      <w:r w:rsidRPr="001B2E40">
        <w:rPr>
          <w:rFonts w:ascii="Times New Roman" w:eastAsia="Times New Roman" w:hAnsi="Times New Roman" w:cs="Times New Roman"/>
          <w:sz w:val="20"/>
        </w:rPr>
        <w:t>Il personale chiamato a ricoprire cariche pubbliche nelle amministrazioni degli enti locali, compresi i consiglieri di pari opportunità, a norma della legge 3.8.1999, n. 265 e del decreto legislativo 18/08/2000 n. 267, durante l’esercizio del mandato, ha titolo nelle operazioni di II e III fase riguardanti i trasferimenti alla precedenza a condizione che la prima preferenza espressa nel modulo domanda si riferisca al comune nel quale esercita mandato, in mancanza di istituzioni scolastiche richiedibili, al comune viciniore. L’indicazione della preferenza sintetica per l’intero comune di esercizio del mandato, ovvero per il distretto scolastico, per i comuni suddivisi in più distretti, è obbligatoria. La mancata indicazione del comune o distretto in questione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 Tale precedenza, pertanto, non si applica alla prima fase dei trasferimenti ed alla mobilità professionale. L’esercizio del mandato deve sussistere entro dieci giorni prima del termine ultimo di comunicazione al SIDI delle domande. 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 e vincolato alla mobilità d’ufficio</w:t>
      </w:r>
    </w:p>
    <w:p w:rsidR="001B2E40" w:rsidRDefault="001B2E40">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VIII) PERSONALE CHE RIPRENDE SERVIZIO AL TERMINE DELL’ASPETTATIVA SINDACALE DI CUI AL C.C.N.Q. SOTTOSCRITTO IL 7/8/1998 </w:t>
      </w:r>
    </w:p>
    <w:p w:rsidR="00FC5E25" w:rsidRDefault="00FC5E25">
      <w:pPr>
        <w:spacing w:after="0" w:line="240" w:lineRule="auto"/>
        <w:jc w:val="both"/>
        <w:rPr>
          <w:rFonts w:ascii="Times New Roman" w:eastAsia="Times New Roman" w:hAnsi="Times New Roman" w:cs="Times New Roman"/>
          <w:sz w:val="20"/>
          <w:u w:val="single"/>
        </w:rPr>
      </w:pPr>
    </w:p>
    <w:p w:rsidR="00FC5E25" w:rsidRDefault="001B2E40">
      <w:pPr>
        <w:spacing w:after="0" w:line="240" w:lineRule="auto"/>
        <w:jc w:val="both"/>
        <w:rPr>
          <w:rFonts w:ascii="Times New Roman" w:eastAsia="Times New Roman" w:hAnsi="Times New Roman" w:cs="Times New Roman"/>
          <w:sz w:val="20"/>
          <w:u w:val="single"/>
        </w:rPr>
      </w:pPr>
      <w:r w:rsidRPr="001B2E40">
        <w:rPr>
          <w:rFonts w:ascii="Times New Roman" w:eastAsia="Times New Roman" w:hAnsi="Times New Roman" w:cs="Times New Roman"/>
          <w:sz w:val="20"/>
        </w:rPr>
        <w:t>Il personale che riprende servizio al termine dell’aspettativa sindacale di cui al C.C.N.Q. sottoscritto il 4/12/2017 ha diritto alla precedenza nei trasferimenti interprovinciali per la provincia ove ha svolto attività sindacale e nella quale risulta domiciliato da almeno tre anni. Tale precedenza pertanto non si applica alla prima ed alla seconda fase dei trasferimenti ed alla mobilità professionale. Il possesso del requisito per beneficiare della predetta precedenza deve essere documentato mediante dichiarazione sotto la propria responsabilità, redatta ai sensi delle disposizioni contenute nel D.P.R. 28.12.2000, n. 445 e successive modifiche ed integrazioni</w:t>
      </w:r>
      <w:r>
        <w:t>.</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 ESCLUSIONE DALLA GRADUATORIA D’ISTITUTO PER L’INDIVIDUAZIONE DEI PERDENTI POSTO.</w:t>
      </w:r>
    </w:p>
    <w:p w:rsidR="00FC5E25" w:rsidRDefault="000D5A2F">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a) </w:t>
      </w:r>
      <w:r w:rsidR="00A66761">
        <w:rPr>
          <w:rFonts w:ascii="Times New Roman" w:eastAsia="Times New Roman" w:hAnsi="Times New Roman" w:cs="Times New Roman"/>
          <w:sz w:val="20"/>
        </w:rPr>
        <w:t>I docenti beneficiari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rsidR="000D5A2F" w:rsidRPr="000D5A2F" w:rsidRDefault="000D5A2F" w:rsidP="000D5A2F">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1</w:t>
      </w:r>
      <w:r w:rsidRPr="000D5A2F">
        <w:rPr>
          <w:rFonts w:ascii="Times New Roman" w:eastAsia="Times New Roman" w:hAnsi="Times New Roman" w:cs="Times New Roman"/>
          <w:sz w:val="20"/>
        </w:rPr>
        <w:t>) l’esclusione dalla graduatoria interna per i beneficiari della precedenza di cui al punto IV si applica solo se si è titolari in una scuola ubicata nella stessa provincia del domicilio dell’assistito. 22</w:t>
      </w:r>
    </w:p>
    <w:p w:rsidR="000D5A2F" w:rsidRDefault="000D5A2F" w:rsidP="000D5A2F">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w:t>
      </w:r>
      <w:r w:rsidRPr="000D5A2F">
        <w:rPr>
          <w:rFonts w:ascii="Times New Roman" w:eastAsia="Times New Roman" w:hAnsi="Times New Roman" w:cs="Times New Roman"/>
          <w:sz w:val="20"/>
        </w:rPr>
        <w:t>) qualora la scuola di titolarità sia in comune diverso o distretto sub comunale diverso da quello dell’assistito, l’esclusione dalla graduatoria interna per l’individuazione del perdente posto si applica solo a condizione che sia stata presentata, per l’anno scolastico di riferimento, domanda volontaria di trasferimento alle stesse condizioni di cui al punto IV.</w:t>
      </w:r>
    </w:p>
    <w:p w:rsidR="00FC5E25" w:rsidRPr="000D5A2F" w:rsidRDefault="000D5A2F">
      <w:pPr>
        <w:spacing w:after="0" w:line="240" w:lineRule="auto"/>
        <w:jc w:val="both"/>
        <w:rPr>
          <w:rFonts w:ascii="Times New Roman" w:eastAsia="Times New Roman" w:hAnsi="Times New Roman" w:cs="Times New Roman"/>
          <w:sz w:val="20"/>
        </w:rPr>
      </w:pPr>
      <w:r w:rsidRPr="000D5A2F">
        <w:rPr>
          <w:rFonts w:ascii="Times New Roman" w:eastAsia="Times New Roman" w:hAnsi="Times New Roman" w:cs="Times New Roman"/>
          <w:sz w:val="20"/>
        </w:rPr>
        <w:t xml:space="preserve">Quanto sopra non si applica qualora la scuola di titolarità comprenda sedi/plessi, ubicate nel comune o distretto sub comunale del domicilio del familiare assistito. L’esclusione di cui al punto IV) in caso di assistenza al coniuge o ai figli con disabilità si applica anche in caso di patologie modificabili nel tempo (certificazione di disabilità “rivedibile”) </w:t>
      </w:r>
      <w:r w:rsidRPr="000D5A2F">
        <w:rPr>
          <w:rFonts w:ascii="Times New Roman" w:eastAsia="Times New Roman" w:hAnsi="Times New Roman" w:cs="Times New Roman"/>
          <w:sz w:val="20"/>
        </w:rPr>
        <w:lastRenderedPageBreak/>
        <w:t>purché la durata del riconoscimento superi il termine di scadenza per la presentazione delle domande di mobilità volontaria. Per gli amministratori degli Enti Locali ed i consiglieri di pari opportunità tale esclusione va applicata solo durante l’esercizio del mandato amministrativo e solo se titolari nella stessa provincia in cui si esercita. Nel caso in cui la contrazione di organico sia tale da rendere necessario anche il coinvolgimento delle predette categorie, il personale in questione sarà graduato seguendo l’ordine di cui sopra. c) Il personale beneficiario delle precedenze di cui ai punti III), IV)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 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le disposizioni contenute nei successivi articoli relativi all’individuazione dei perdenti posto</w:t>
      </w:r>
    </w:p>
    <w:p w:rsidR="000D5A2F" w:rsidRDefault="000D5A2F">
      <w:pPr>
        <w:spacing w:after="0" w:line="240" w:lineRule="auto"/>
        <w:jc w:val="both"/>
        <w:rPr>
          <w:rFonts w:ascii="Times New Roman" w:eastAsia="Times New Roman" w:hAnsi="Times New Roman" w:cs="Times New Roman"/>
          <w:sz w:val="20"/>
        </w:rPr>
      </w:pPr>
    </w:p>
    <w:p w:rsidR="000D5A2F" w:rsidRPr="000D5A2F" w:rsidRDefault="000D5A2F">
      <w:pPr>
        <w:spacing w:after="0" w:line="240" w:lineRule="auto"/>
        <w:jc w:val="both"/>
        <w:rPr>
          <w:rFonts w:ascii="Times New Roman" w:eastAsia="Times New Roman" w:hAnsi="Times New Roman" w:cs="Times New Roman"/>
          <w:sz w:val="20"/>
        </w:rPr>
      </w:pPr>
      <w:r w:rsidRPr="000D5A2F">
        <w:rPr>
          <w:rFonts w:ascii="Times New Roman" w:eastAsia="Times New Roman" w:hAnsi="Times New Roman" w:cs="Times New Roman"/>
          <w:sz w:val="20"/>
        </w:rPr>
        <w:t xml:space="preserve">3. CAMPO DI APPLICAZIONE DEL SISTEMA DELLE PRECEDENZE a) Le precedenze di cui al comma 1 del presente articolo sono riconosciute solo nelle operazioni di mobilità volontaria. Esse, invece, non sono riconosciute ai fini della riassegnazione del personale a seguito di dimensionamento. b) Le precedenze di cui al comma 2 sono riconosciute solo ai fini dell’esclusione dalla graduatoria d’istituto per l’individuazione dei perdenti posto, compresa l’individuazione del perdente posto a seguito di dimensionamento. c) In riferimento a quanto previsto al precedente art. 11 comma 8, il diritto all’esclusione dei beneficiari delle precedenze di cui al comma 2 dalla graduatoria per l’attribuzione della cattedra orario esterna costituitasi ex novo, si applica esclusivamente per le cattedre orario esterne costituite tra scuole di comuni diversi (o distretti </w:t>
      </w:r>
      <w:proofErr w:type="spellStart"/>
      <w:r w:rsidRPr="000D5A2F">
        <w:rPr>
          <w:rFonts w:ascii="Times New Roman" w:eastAsia="Times New Roman" w:hAnsi="Times New Roman" w:cs="Times New Roman"/>
          <w:sz w:val="20"/>
        </w:rPr>
        <w:t>subcomunali</w:t>
      </w:r>
      <w:proofErr w:type="spellEnd"/>
      <w:r w:rsidRPr="000D5A2F">
        <w:rPr>
          <w:rFonts w:ascii="Times New Roman" w:eastAsia="Times New Roman" w:hAnsi="Times New Roman" w:cs="Times New Roman"/>
          <w:sz w:val="20"/>
        </w:rPr>
        <w:t xml:space="preserve"> diversi). </w:t>
      </w:r>
    </w:p>
    <w:p w:rsidR="000D5A2F" w:rsidRPr="000D5A2F" w:rsidRDefault="000D5A2F">
      <w:pPr>
        <w:spacing w:after="0" w:line="240" w:lineRule="auto"/>
        <w:jc w:val="both"/>
        <w:rPr>
          <w:rFonts w:ascii="Times New Roman" w:eastAsia="Times New Roman" w:hAnsi="Times New Roman" w:cs="Times New Roman"/>
          <w:sz w:val="20"/>
        </w:rPr>
      </w:pPr>
    </w:p>
    <w:p w:rsidR="000D5A2F" w:rsidRDefault="000D5A2F">
      <w:pPr>
        <w:spacing w:after="0" w:line="240" w:lineRule="auto"/>
        <w:jc w:val="both"/>
        <w:rPr>
          <w:rFonts w:ascii="Times New Roman" w:eastAsia="Times New Roman" w:hAnsi="Times New Roman" w:cs="Times New Roman"/>
          <w:sz w:val="20"/>
        </w:rPr>
      </w:pPr>
      <w:r w:rsidRPr="000D5A2F">
        <w:rPr>
          <w:rFonts w:ascii="Times New Roman" w:eastAsia="Times New Roman" w:hAnsi="Times New Roman" w:cs="Times New Roman"/>
          <w:sz w:val="20"/>
        </w:rPr>
        <w:t>4. DECADENZA DAL BENEFICIO DELLE PRECEDENZE 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__________________</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1) E’ equiparato il personale perdente posto trasferito d’ufficio senza aver presentato domanda. </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2) L’obbligo quinquennale di permanenza su posto di sostegno non si applica nei confronti dei docenti trasferiti a domanda condizionata in quanto soprannumerari da posto comune o cattedra a posto di sostegno 3) I docenti che intendano usufruire della precedenza per il rientro nell’istituto di precedente titolarità, su un posto dell’organico del medesimo, devono indicare, nell’apposita casella del modulo domanda, il codice e la denominazione della sede di organico. </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4)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 23</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5) Per posto richiedibile si intende l'esistenza nel comune di una istituzione scolastica corrispondente al ruolo di appartenenza dell’interessato, a prescindere dall'effettiva vacanza di un posto o di una cattedra assegnabile per trasferimento al medesimo</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6) La figura dell’amministratore di sostegno non è in alcun modo equiparabile all’istituto della tutela legale 7) Ai sensi della legge 76 del 20 maggio 2016 per coniuge si intende anche la parte dell’unione civile</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9) Qualora la certificazione della situazione di grave disabilità, di cui all’OM relativa ai trasferimenti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 </w:t>
      </w:r>
    </w:p>
    <w:p w:rsid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10) In caso di più aventi diritto, la precedenza viene attribuita secondo l'ordine di graduatoria indipendentemente dall'anno scolastico di trasferimento per soppressione di posto o cattedra.</w:t>
      </w:r>
    </w:p>
    <w:p w:rsidR="00FC5E25" w:rsidRPr="000D5A2F" w:rsidRDefault="000D5A2F">
      <w:pPr>
        <w:spacing w:after="0" w:line="240" w:lineRule="auto"/>
        <w:jc w:val="both"/>
        <w:rPr>
          <w:rFonts w:ascii="Times New Roman" w:hAnsi="Times New Roman" w:cs="Times New Roman"/>
          <w:i/>
          <w:iCs/>
        </w:rPr>
      </w:pPr>
      <w:r w:rsidRPr="000D5A2F">
        <w:rPr>
          <w:rFonts w:ascii="Times New Roman" w:hAnsi="Times New Roman" w:cs="Times New Roman"/>
          <w:i/>
          <w:iCs/>
        </w:rPr>
        <w:t xml:space="preserve"> 11)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rsidR="000D5A2F" w:rsidRPr="000D5A2F" w:rsidRDefault="000D5A2F">
      <w:pPr>
        <w:spacing w:after="0" w:line="240" w:lineRule="auto"/>
        <w:jc w:val="both"/>
        <w:rPr>
          <w:rFonts w:ascii="Times New Roman" w:eastAsia="Times New Roman" w:hAnsi="Times New Roman" w:cs="Times New Roman"/>
          <w:i/>
          <w:iCs/>
          <w:sz w:val="20"/>
        </w:rPr>
      </w:pPr>
    </w:p>
    <w:p w:rsidR="00FC5E25" w:rsidRDefault="00A66761">
      <w:pPr>
        <w:spacing w:after="0" w:line="240" w:lineRule="auto"/>
        <w:jc w:val="both"/>
        <w:rPr>
          <w:rFonts w:ascii="Times New Roman" w:eastAsia="Times New Roman" w:hAnsi="Times New Roman" w:cs="Times New Roman"/>
          <w:b/>
          <w:sz w:val="20"/>
        </w:rPr>
      </w:pPr>
      <w:r>
        <w:rPr>
          <w:rFonts w:ascii="Times New Roman" w:eastAsia="Times New Roman" w:hAnsi="Times New Roman" w:cs="Times New Roman"/>
          <w:b/>
          <w:sz w:val="20"/>
        </w:rPr>
        <w:t>ART. 14 - ASSISTENZA AI FAMILIARI DISABILI</w:t>
      </w:r>
    </w:p>
    <w:p w:rsidR="00FC5E25" w:rsidRDefault="00FC5E25">
      <w:pPr>
        <w:spacing w:after="0" w:line="240" w:lineRule="auto"/>
        <w:jc w:val="both"/>
        <w:rPr>
          <w:rFonts w:ascii="Times New Roman" w:eastAsia="Times New Roman" w:hAnsi="Times New Roman" w:cs="Times New Roman"/>
          <w:sz w:val="20"/>
        </w:rPr>
      </w:pPr>
    </w:p>
    <w:p w:rsidR="00FC5E25" w:rsidRDefault="00A6676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rsidR="00FC5E25" w:rsidRDefault="00FC5E25">
      <w:pPr>
        <w:spacing w:after="0" w:line="240" w:lineRule="auto"/>
        <w:rPr>
          <w:rFonts w:ascii="Times New Roman" w:eastAsia="Times New Roman" w:hAnsi="Times New Roman" w:cs="Times New Roman"/>
          <w:sz w:val="20"/>
        </w:rPr>
      </w:pPr>
    </w:p>
    <w:sectPr w:rsidR="00FC5E25" w:rsidSect="001B2E40">
      <w:pgSz w:w="11906" w:h="16838"/>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2151"/>
    <w:multiLevelType w:val="multilevel"/>
    <w:tmpl w:val="C8E8E5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EBD7BEC"/>
    <w:multiLevelType w:val="multilevel"/>
    <w:tmpl w:val="E174D2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FC5E25"/>
    <w:rsid w:val="000D5A2F"/>
    <w:rsid w:val="001B2E40"/>
    <w:rsid w:val="002E2C24"/>
    <w:rsid w:val="008379F1"/>
    <w:rsid w:val="00A66761"/>
    <w:rsid w:val="00AA6C7F"/>
    <w:rsid w:val="00E71624"/>
    <w:rsid w:val="00FC5E2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2C2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5A2F"/>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5185</Words>
  <Characters>29558</Characters>
  <Application>Microsoft Office Word</Application>
  <DocSecurity>0</DocSecurity>
  <Lines>246</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PDL7</dc:creator>
  <cp:lastModifiedBy>Alunno</cp:lastModifiedBy>
  <cp:revision>3</cp:revision>
  <cp:lastPrinted>2024-03-03T14:27:00Z</cp:lastPrinted>
  <dcterms:created xsi:type="dcterms:W3CDTF">2023-03-02T15:15:00Z</dcterms:created>
  <dcterms:modified xsi:type="dcterms:W3CDTF">2024-03-03T14:27:00Z</dcterms:modified>
</cp:coreProperties>
</file>